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BB" w:rsidRDefault="00197BBB" w:rsidP="00197B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B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Решение Судебной коллегии по административным делам Верховного Суда РФ </w:t>
      </w:r>
      <w:r w:rsidRPr="005A2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yellow"/>
          <w:lang w:eastAsia="ru-RU"/>
        </w:rPr>
        <w:t>от 07.06.2022 N АКПИ22-273</w:t>
      </w:r>
      <w:bookmarkStart w:id="0" w:name="_GoBack"/>
      <w:bookmarkEnd w:id="0"/>
    </w:p>
    <w:p w:rsidR="00197BBB" w:rsidRPr="00197BBB" w:rsidRDefault="00197BBB" w:rsidP="00197B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B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&lt;Об отказе в удовлетворении заявления о признании недействующими абзацев пятого, шестого подпункта "г", подпункта "м", пункта 37, пунктов 48, 50, 51 Положения о государственном регулировании цен на продукцию, поставляемую по государственному оборонному заказу, утв. постановлением Правительства РФ от 02.12.2017 N 1465&gt;</w:t>
      </w:r>
    </w:p>
    <w:p w:rsidR="00197BBB" w:rsidRPr="00197BBB" w:rsidRDefault="00197BBB" w:rsidP="006A4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РОССИЙСКОЙ ФЕДЕРАЦИИ</w:t>
      </w:r>
    </w:p>
    <w:p w:rsidR="00197BBB" w:rsidRPr="00197BBB" w:rsidRDefault="00197BBB" w:rsidP="006A4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197BBB" w:rsidRPr="00197BBB" w:rsidRDefault="00197BBB" w:rsidP="006A4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197BBB" w:rsidRPr="00197BBB" w:rsidRDefault="00197BBB" w:rsidP="006A4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июня 2022 г. N АКПИ22-273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Российской Федерации в составе: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судьи Верховного Суда Российской Федерации Назаровой А.М.,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 Верховного Суда Российской Федерации Кириллова В.С., Нефедова О.Н.,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К.,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прокурора </w:t>
      </w:r>
      <w:proofErr w:type="spellStart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административное дело по административному исковому заявлению акционерного общества "Производственное объединение "Северное машиностроительное предприятие" </w:t>
      </w:r>
      <w:r w:rsidRPr="005B74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 признании недействующими </w:t>
      </w:r>
      <w:hyperlink r:id="rId4" w:anchor="dst100181" w:history="1">
        <w:r w:rsidRPr="005B742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абзацев пятого</w:t>
        </w:r>
      </w:hyperlink>
      <w:r w:rsidRPr="005B74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hyperlink r:id="rId5" w:anchor="dst100182" w:history="1">
        <w:r w:rsidRPr="005B742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шестого подпункта "г"</w:t>
        </w:r>
      </w:hyperlink>
      <w:r w:rsidRPr="005B74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6" w:anchor="dst100211" w:history="1">
        <w:r w:rsidRPr="005B742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подпункта "м" пункта 37</w:t>
        </w:r>
      </w:hyperlink>
      <w:r w:rsidRPr="005B74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7" w:anchor="dst100243" w:history="1">
        <w:r w:rsidRPr="005B742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пунктов 48</w:t>
        </w:r>
      </w:hyperlink>
      <w:r w:rsidRPr="005B74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hyperlink r:id="rId8" w:anchor="dst100251" w:history="1">
        <w:r w:rsidRPr="005B742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50</w:t>
        </w:r>
      </w:hyperlink>
      <w:r w:rsidRPr="005B74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hyperlink r:id="rId9" w:anchor="dst100257" w:history="1">
        <w:r w:rsidRPr="005B742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51</w:t>
        </w:r>
      </w:hyperlink>
      <w:r w:rsidRPr="005B74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г. N 1465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 декабря 2017 г. N 1465, опубликованным 6 декабря 2017 г. на "Официальном интернет-портале правовой информации" (</w:t>
      </w:r>
      <w:hyperlink r:id="rId10" w:tgtFrame="_blank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11 декабря 2017 г. в Собрании законодательства Российской Федерации, утверждено </w:t>
      </w:r>
      <w:hyperlink r:id="rId11" w:anchor="dst10001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государственном регулировании цен на продукцию, поставляемую по 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государственному оборонному заказу (далее - Положение), которое устанавливает порядок государственного регулирования цен на товары, работы, услуги (далее также - продукция), поставляемые в соответствии с государственными контрактами (контрактами) по государственному оборонному заказу (далее - государственное регулирование цен), а также полномочия федеральных органов исполнительной власти, Государственной корпорации по атомной энергии "Росатом", Государственной корпорации по космической деятельности "Роскосмос" по государственному регулированию цен в сфере государственного оборонного заказа.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dst10017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определен перечень обосновывающих документов, предоставляемых при представлении предложений о цене (прогнозной цене) продукции, сформированных с использованием методов определения цены, установленных </w:t>
      </w:r>
      <w:hyperlink r:id="rId13" w:anchor="dst10001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4" w:anchor="dst100176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"г"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пункта предусмотрено в случае применения затратного метода предоставлять в том числе, расчет цен на покупные комплектующие изделия (полуфабрикаты) и работы (услуги) производственного характера, связанные с поставкой продукции в течение планового периода, в объеме документов, предусмотренных названным </w:t>
      </w:r>
      <w:hyperlink r:id="rId15" w:anchor="dst10017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каждой номенклатурной позиции комплектующих изделий (полуфабрикатов) и работ (услуг), расходы на закупку которой составляют не менее 10 процентов суммарных расходов на закупку покупных комплектующих изделий (полуфабрикатов), работ (услуг) производственного характера и не менее одного миллиона рублей либо не менее 5 процентов указанных суммарных расходов, если они составляют один миллиард рублей и более </w:t>
      </w:r>
      <w:hyperlink r:id="rId16" w:anchor="dst10018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пятый)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цен на работы (услуги) исполнителей, выполняющих отдельные этапы (составные части) научно-исследовательских, опытно-конструкторских и других работ, в объеме документов, предусмотренных указанным </w:t>
      </w:r>
      <w:hyperlink r:id="rId17" w:anchor="dst10017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dst10018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шестой)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dst10021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"м" пункта 37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предусматривает предоставление в качестве обосновывающих документов иные документы, необходимые, по мнению организации, для обоснования цены на продукцию, а также документы, предоставление которых предусмотрено ведомственными актами государственных заказчиков и отраслевых органов.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0" w:anchor="dst10024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48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обосновывающие документы представляются с использованием уточненных исходных данных, необходимых для определения экономически обоснованной цены на продукцию, отсутствовавших на момент ее определения. В случае применения затратного метода единственный поставщик в дополнение к обосновывающим документам, предусмотренным </w:t>
      </w:r>
      <w:hyperlink r:id="rId21" w:anchor="dst10039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VII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2" w:anchor="dst100495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VIII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по запросу государственного заказчика (либо военного представительства Министерства обороны Российской Федерации или иного государственного заказчика, уполномоченного осуществлять свою деятельность в организации) представляет: а) по приобретенным материалам, покупным комплектующим изделиям (полуфабрикатам), покупному специальному оборудованию, покупной специальной технологической оснастке и по осуществленным командировкам - расшифровки фактических затрат с указанием величины затрат и приложением копий первичных документов (договоры, протоколы, счета и др.); б) по работам (услугам), выполняемым сторонними организациями, принятым головным исполнителем (заказчиком этих работ), - технические акты и акты сдачи-приемки работ (услуг), утвержденные головным исполнителем (заказчиком этих работ); в) обоснование фактически осуществленных затрат, необходимых для определения фиксированной цены на продукцию, за исключением затрат, указанных в </w:t>
      </w:r>
      <w:hyperlink r:id="rId23" w:anchor="dst100245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anchor="dst100246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пункта, - документы, подтверждающие эти затраты; г) обоснование плановой цены продукции - обосновывающие документы в составе предложения о цене с учетом уточнения исходных данных, необходимых для определения экономически обоснованной цены, отсутствовавших на момент ее определения.</w:t>
      </w:r>
    </w:p>
    <w:p w:rsidR="00C45409" w:rsidRPr="00197BBB" w:rsidRDefault="00C45409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dst10025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50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установлено, что при переводе ориентировочной (уточняемой) цены на продукцию либо цены на продукцию, возмещающей издержки, в фиксированную цену в случае, если эта цена в соответствии с </w:t>
      </w:r>
      <w:hyperlink r:id="rId26" w:anchor="dst10039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VII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подлежит регистрации, государственный заказчик в течение 20 рабочих дней со дня получения обращения о переводе указанных видов цены на продукцию в фиксированную цену рассматривает представленные документы, осуществляет проверку расчета цены на продукцию и по результатам проверки готовит заключение с необходимыми обоснованиями </w:t>
      </w:r>
      <w:hyperlink r:id="rId27" w:anchor="dst10025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первый)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заключения государственного заказчика исчисляется со дня получения всех документов, представление которых предусмотрено в составе обращения о необходимости перевода в фиксированную цену других видов цен на продукцию в соответствии с </w:t>
      </w:r>
      <w:hyperlink r:id="rId28" w:anchor="dst10024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hyperlink r:id="rId29" w:anchor="dst10025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второй)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может проводить консультации с единственным поставщиком и (или) запрашивать у него дополнительные информацию и документы, связанные с определением цены на продукцию </w:t>
      </w:r>
      <w:hyperlink r:id="rId30" w:anchor="dst10025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третий)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государственного заказчика с ценой продукции, предложенной единственным поставщиком,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продукцию, содержащее мотивированное обоснование причин несогласия с предложенной ценой, а в случае применения единственным поставщиком затратного метода определения цены - мотивированное обоснование причин несогласия с предложенными размерами затрат и обоснование сумм изменения затрат по каждой статье (подстатье) калькуляции единицы продукции со ссылкой на соответствующие нормативные документы </w:t>
      </w:r>
      <w:hyperlink r:id="rId31" w:anchor="dst100666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четвертый)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заключения о цене на продукцию устанавливается государственным заказчиком по согласованию с Федеральной антимонопольной службой.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"Росатом" </w:t>
      </w:r>
      <w:hyperlink r:id="rId32" w:anchor="dst10066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пятый)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Заключение, а также документы, полученные от единственного поставщика, государственный заказчик направляет в Федеральную антимонопольную службу для регистрации цены на продукцию. Указанные документы представляются на бумажном носителе и в электронном виде на оптических носителях (CD-R) в форматах электронных копий и таблиц </w:t>
      </w:r>
      <w:hyperlink r:id="rId33" w:anchor="dst10025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шестой)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направляемых в Федеральную антимонопольную службу заключения, подписанного протокола цены единицы продукции, а в случае применения единственным поставщиком затратного метода определения цены - также копию подписанной плановой калькуляции затрат государственный заказчик одновременно направляет единственному поставщику </w:t>
      </w:r>
      <w:hyperlink r:id="rId34" w:anchor="dst10066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седьмой)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продукцию </w:t>
      </w:r>
      <w:hyperlink r:id="rId35" w:anchor="dst100255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восьмой)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случае,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продукцию, в дополнительном соглашении устанавливаются отлагательные условия завершения расчетов по государственному контракту,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изменений, подготовку которых осуществляет государственный заказчик в установленном порядке </w:t>
      </w:r>
      <w:hyperlink r:id="rId36" w:anchor="dst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девятый)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dst10025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предусмотрено, что в случае если регистрация цены на продукцию не требуется после перевода в фиксированную цену ориентировочной (уточняемой) цены на эту продукцию либо цены на нее, возмещающей издержки, государственный заказчик в течение 20 рабочих дней со дня получения обращения о переводе любого из указанных видов цены на продукцию в фиксированную цену рассматривает представленные документы, осуществляет проверку расчета цены на продукцию и определяет по согласованию с единственным поставщиком ее фиксированную цену </w:t>
      </w:r>
      <w:hyperlink r:id="rId38" w:anchor="dst10025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первый)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государственного заказчика с ценой продукции, предложенной единственным поставщиком, государственный заказчик в целях урегулирования имеющихся разногласий формирует и направляет единственному поставщику заключение о цене на продукцию, содержащее мотивированное обоснование причин несогласия с предложенной ценой, а в случае применения единственным поставщиком затратного метода определения цены - мотивированное обоснование причин несогласия с предложенными размерами затрат и обоснование сумм изменения затрат по каждой статье (подстатье) калькуляции единицы продукции со ссылкой на соответствующие нормативные документы </w:t>
      </w:r>
      <w:hyperlink r:id="rId39" w:anchor="dst100669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второй)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заключения о цене на продукцию устанавливается государственным заказчиком по согласованию с Федеральной антимонопольной службой. Для продукции в сфере ядерного оружейного комплекса форму заключения о цене на продукцию устанавливает Государственная корпорация по атомной энергии "Росатом" </w:t>
      </w:r>
      <w:hyperlink r:id="rId40" w:anchor="dst100670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третий)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30 рабочих дней со дня получения обращения о необходимости перевода цены продукции в фиксированную с учетом положений </w:t>
      </w:r>
      <w:hyperlink r:id="rId41" w:anchor="dst10054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164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hyperlink r:id="rId42" w:anchor="dst10025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четвертый)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случае,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продукцию, в дополнительном соглашении устанавливаются отлагательные условия завершения расчетов по государственному контракту,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изменений, подготовку которых осуществляет государственный заказчик в установленном порядке </w:t>
      </w:r>
      <w:hyperlink r:id="rId43" w:anchor="dst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(абзац пятый)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"Производственное объединение "Северное машиностроительное предприятие" (далее - Общество), являющееся головным исполнителем и исполнителем по государственному оборонному заказу, обратилось в Верховный Суд Российской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с административным исковым заявлением, в котором с учетом уточнений просит признать </w:t>
      </w:r>
      <w:r w:rsidRPr="00197BB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недействующими приведенные нормы </w:t>
      </w:r>
      <w:hyperlink r:id="rId44" w:anchor="dst100014" w:history="1">
        <w:r w:rsidRPr="00197BBB">
          <w:rPr>
            <w:rFonts w:ascii="Times New Roman" w:eastAsia="Times New Roman" w:hAnsi="Times New Roman" w:cs="Times New Roman"/>
            <w:color w:val="FF0000"/>
            <w:sz w:val="24"/>
            <w:szCs w:val="24"/>
            <w:highlight w:val="yellow"/>
            <w:u w:val="single"/>
            <w:lang w:eastAsia="ru-RU"/>
          </w:rPr>
          <w:t>Положения</w:t>
        </w:r>
      </w:hyperlink>
      <w:r w:rsidRPr="00197BB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, обосновывая свое требование тем,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B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что ввиду правовой неопределенности оспариваемых предписаний и принципиальных разночтений, возникших между административным истцом и государственным заказчиком при их применении, по состоянию на март 2022 г. ориентировочная цена государственного контракта не переведена в фиксированную и окончательный расчет не произведен.</w:t>
      </w:r>
    </w:p>
    <w:p w:rsid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Общества, </w:t>
      </w:r>
      <w:hyperlink r:id="rId45" w:anchor="dst10018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пятый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anchor="dst10018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шестой подпункта "г" пункта 37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противоречат Федеральному </w:t>
      </w:r>
      <w:hyperlink r:id="rId4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июля 2009 г. N 172-ФЗ "Об антикоррупционной экспертизе нормативных правовых актов и проектов нормативных правовых актов" (далее - Федеральный закон N 172-ФЗ), </w:t>
      </w:r>
      <w:r w:rsidRPr="001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поскольку </w:t>
      </w:r>
      <w:r w:rsidRPr="00197BB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содержат трудновыполнимые и (или) обременительные требования к организациям, выполняющим государственный оборонный заказ, и тем самым создают условия для проявления коррупции</w:t>
      </w:r>
      <w:r w:rsidRPr="00197BB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</w:p>
    <w:p w:rsidR="00C45409" w:rsidRPr="00197BBB" w:rsidRDefault="00C45409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частности, возлагают на Общество обязанность представлять расчетно-калькуляционные материалы не только тех исполнителей, с которыми у них имеются контрактные отношения, но и документацию всей кооперации, то есть исполнителей второго и третьего уровня, выполняющих отдельные этапы работ, с которыми Общество в договорных отношениях не состоит; направлены на пересмотр цен по контрактам, в установленном порядке согласованным с военными представительствами Министерства обороны Российской Федерации и оплаченным головными исполнителями (исполнителями); устанавливают общеобязательные правила поведения в подзаконном акте в условиях отсутствия закона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утверждению административного истца, </w:t>
      </w:r>
      <w:hyperlink r:id="rId48" w:anchor="dst10021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"м"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пункта содержит указание на </w:t>
      </w:r>
      <w:r w:rsidRPr="00E45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необходимость представления документов, предусмотренных ведомственными актами государственных заказчиков и отраслевых органов, издание которых, как обязательных к применению со стороны головных исполнителей и исполнителей - </w:t>
      </w:r>
      <w:r w:rsidRPr="005B7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различной отраслевой принадлежности, без согласования с соответствующими отраслевыми органами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противоречит </w:t>
      </w:r>
      <w:hyperlink r:id="rId49" w:anchor="dst22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 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anchor="dst10076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124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(далее - ГК РФ) и </w:t>
      </w:r>
      <w:hyperlink r:id="rId51" w:anchor="dst10010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4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275-ФЗ "О государственном оборонном заказе" (далее - Федеральный закон об оборонном заказе), устанавливающей правовые основы государственного регулирования цен на продукцию по государственному оборонному заказу.</w:t>
      </w:r>
    </w:p>
    <w:p w:rsidR="00C45409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dst10024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Pr="005B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устанавливает неопределенные, неоднозначные правила, необоснованно широкие пределы усмотрения государственного заказчика, не ограниченного в объеме и сроках запросов дополнительных документов, обосновывающих цену государственного контракта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7BBB" w:rsidRPr="005B742F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B74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частности, в </w:t>
      </w:r>
      <w:hyperlink r:id="rId53" w:anchor="dst100243" w:history="1">
        <w:r w:rsidRPr="005B742F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абзаце первом</w:t>
        </w:r>
      </w:hyperlink>
      <w:r w:rsidRPr="005B74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содержится отсутствующий в законодательстве термин "экономически обоснованная цена", от которого зависит объем предоставляемой информации, </w:t>
      </w:r>
      <w:hyperlink r:id="rId54" w:anchor="dst100245" w:history="1">
        <w:r w:rsidRPr="005B742F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подпункт "а"</w:t>
        </w:r>
      </w:hyperlink>
      <w:r w:rsidRPr="005B74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названного пункта является неисполнимым, </w:t>
      </w:r>
      <w:hyperlink r:id="rId55" w:anchor="dst100246" w:history="1">
        <w:r w:rsidRPr="005B742F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подпункт "б"</w:t>
        </w:r>
      </w:hyperlink>
      <w:r w:rsidRPr="005B74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содержит положения, предусматривающие представление документов на усмотрение заказчика, </w:t>
      </w:r>
      <w:hyperlink r:id="rId56" w:anchor="dst100248" w:history="1">
        <w:r w:rsidRPr="005B742F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подпункт "г"</w:t>
        </w:r>
      </w:hyperlink>
      <w:r w:rsidRPr="005B74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содержит отсутствующий в действующем законодательстве термин "плановая цена".</w:t>
      </w:r>
    </w:p>
    <w:p w:rsidR="00E45607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dst10025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50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противоречит </w:t>
      </w:r>
      <w:hyperlink r:id="rId58" w:anchor="dst22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 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9" w:anchor="dst10076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124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так как допускает установление фиксированной цены государственным заказчиком без согласования с единственным поставщиком, ее регистрацию в Федеральной антимонопольной службе и заключение дополнительного соглашения к государственному контракту на основе зарегистрированной цены. В частности </w:t>
      </w:r>
      <w:hyperlink r:id="rId60" w:anchor="dst10025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пункта содержит термин "необходимые обоснования", </w:t>
      </w:r>
      <w:r w:rsidRPr="005B74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который является неопределенным, фактически объем "необходимых обоснований" оставлен на усмотрение государственного заказчика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5409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отличие от заключения военного представительства Министерства обороны Российской Федерации, имеющего признаки </w:t>
      </w:r>
      <w:proofErr w:type="spellStart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обоснованности на основании </w:t>
      </w:r>
      <w:hyperlink r:id="rId61" w:anchor="dst100626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37(1)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заключение, </w:t>
      </w:r>
      <w:r w:rsidRPr="00E456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подготовленное государственным заказчиком, содержит только необходимые обоснования, не является мотивированным и служит основанием для определения зарегистрированной цены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</w:t>
      </w:r>
      <w:hyperlink r:id="rId62" w:anchor="dst10025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выдачи заключения государственного заказчика исчисляются со дня получения государственным заказчиком всех документов, представление которых предусмотрено оспариваемым </w:t>
      </w:r>
      <w:hyperlink r:id="rId63" w:anchor="dst10024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 дополнительно </w:t>
      </w:r>
      <w:hyperlink r:id="rId64" w:anchor="dst10025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третьим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оспариваемого пункта 50 Положения. 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</w:t>
      </w:r>
      <w:hyperlink r:id="rId65" w:anchor="dst10021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"м" пункта 37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запросе иных документов, предусмотренных ведомственными актами государственного заказчика, </w:t>
      </w:r>
      <w:hyperlink r:id="rId66" w:anchor="dst10024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48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согласно которому государственный заказчик может дополнительно запросить первичные документы в объеме и за период на свое усмотрение, </w:t>
      </w:r>
      <w:hyperlink r:id="rId67" w:anchor="dst10025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третьего пункта 50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согласно которому государственный заказчик вправе запрашивать любые документы без какого-либо ограничения, государственный заказчик обладает неограниченными пределами усмотрения, что является </w:t>
      </w:r>
      <w:proofErr w:type="spellStart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 согласно Федеральному </w:t>
      </w:r>
      <w:hyperlink r:id="rId6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172-ФЗ.</w:t>
      </w:r>
    </w:p>
    <w:p w:rsidR="005B742F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2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 мнению Общества, необоснованно широкие пределы усмотрения государственного заказчика, не ограниченного в объеме и сроках </w:t>
      </w:r>
      <w:proofErr w:type="gramStart"/>
      <w:r w:rsidRPr="005B742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запросов</w:t>
      </w:r>
      <w:proofErr w:type="gramEnd"/>
      <w:r w:rsidRPr="005B742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дополнительных обосновывающих цену государственного контракта документов, приводит к неопределенной дате начала исчисления</w:t>
      </w:r>
      <w:r w:rsidRPr="005B742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20-дневного срока, в течение которого государственный заказчик выдает заключение на фиксированную цену с "необходимыми обоснованиями".</w:t>
      </w:r>
    </w:p>
    <w:p w:rsidR="00197BBB" w:rsidRPr="005B742F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B74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Подобная процедура перевода ориентировочной цены в фиксированную фактически приводит к нарушению нормативно установленных сроков перевода с негативными последствиями или для бюджета, или для головного исполнителя.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dst100666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четвертый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пункта является неопределенным и не соответствует основному принципу соблюдения баланса интересов государственного заказчика и головного исполнителя. </w:t>
      </w:r>
      <w:hyperlink r:id="rId70" w:anchor="dst10025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шестой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пункта нарушает принципы </w:t>
      </w:r>
      <w:hyperlink r:id="rId7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ГК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 согласованности цены, поскольку в нем отсутствует процедура согласования цены с головным исполнителем, </w:t>
      </w:r>
      <w:hyperlink r:id="rId72" w:anchor="dst10066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седьмой абзац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противоречит </w:t>
      </w:r>
      <w:hyperlink r:id="rId73" w:anchor="dst22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 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4" w:anchor="dst10076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124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</w:t>
      </w:r>
      <w:hyperlink r:id="rId75" w:anchor="dst100255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восьмой абзац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принципу соблюдения баланса интересов, закрепленному Федеральным </w:t>
      </w:r>
      <w:hyperlink r:id="rId76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оборонном заказе, </w:t>
      </w:r>
      <w:hyperlink r:id="rId77" w:anchor="dst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девятый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подготовку внесения изменений в государственный оборонный заказ в установленном порядке, который не является урегулированным.</w:t>
      </w:r>
    </w:p>
    <w:p w:rsidR="00E45607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Предписания </w:t>
      </w:r>
      <w:hyperlink r:id="rId78" w:anchor="dst10025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являются неопределенными, не соответствуют Федеральному </w:t>
      </w:r>
      <w:hyperlink r:id="rId79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оборонном заказе. 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</w:t>
      </w:r>
      <w:hyperlink r:id="rId80" w:anchor="dst10025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первым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регламентирован порядок согласования цены, </w:t>
      </w:r>
      <w:hyperlink r:id="rId81" w:anchor="dst100669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закрепленному в Федеральном </w:t>
      </w:r>
      <w:hyperlink r:id="rId8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оборонном заказе принципу соблюдения баланса интересов, </w:t>
      </w:r>
      <w:hyperlink r:id="rId83" w:anchor="dst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пятый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заключения дополнительного соглашения к государственному контракту между государственным заказчиком и единственным поставщиком отсылает к положениям </w:t>
      </w:r>
      <w:hyperlink r:id="rId84" w:anchor="dst10054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164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оспариваемого нормативного правового акта, который, по мнению административного истца, не устанавливает порядок перевода цены продукции в фиксированную, в связи с чем является дефектной нормой.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представитель Общества Н. поддержала заявленные требования, просила их удовлетворить.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0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Административный ответчик Правительство Российской Федерации поручило представлять свои интересы в Верховном Суде Российской Федерации Федеральной </w:t>
      </w:r>
      <w:r w:rsidRPr="00C45409"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  <w:lang w:eastAsia="ru-RU"/>
        </w:rPr>
        <w:t>антимонопольной службе (поручение от 8 апреля 2022 г. N ДГ-П7-5779).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письменных возражениях на административный иск Правительство Российской Федерации указало, что нормативный правовой </w:t>
      </w:r>
      <w:hyperlink r:id="rId85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 в пределах полномочий Правительства Российской Федерации, оспариваемые нормы соответствуют действующему законодательству и не нарушают права административного истца.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административного ответчика Правительства Российской Федерации А. поддержал изложенную в возражениях правовую позицию и просил отказать в удовлетворении административного искового заявления.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стороны, исследовав материалы дела, проверив оспариваемые положения нормативного правового </w:t>
      </w:r>
      <w:hyperlink r:id="rId86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нормативным правовым актам большей юридической силы, заслушав заключение прокурора Генеральной прокуратуры Российской Федерации </w:t>
      </w:r>
      <w:proofErr w:type="spellStart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полагавшего, что административный иск не подлежит удовлетворению, Верховный Суд Российской Федерации не находит оснований для удовлетворения заявленных требований.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государственного регулирования отношений, связанных с формированием, особенностями размещения, выполнения государственного оборонного заказа и государственного контроля (надзора) в сфере государственного оборонного заказа, устанавливает Федеральный </w:t>
      </w:r>
      <w:hyperlink r:id="rId8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оборонном заказе. Этот же </w:t>
      </w:r>
      <w:hyperlink r:id="rId8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принципы и методы государственного регулирования цен на товары, работы, услуги по государственному оборонному заказу.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dst10069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10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закона закреплено, что порядок государственного регулирования цен на продукцию, поставляемую по государственному оборонному заказу, полномочия федеральных органов исполнительной власти, Государственной корпорации по атомной энергии "Росатом" и Государственной корпорации по космической деятельности "Роскосмос" по государственному регулированию цен в сфере государственного оборонного заказа устанавливаются Правительством Российской Федерации.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на основании и во исполнение </w:t>
      </w:r>
      <w:hyperlink r:id="rId90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указов, распоряжений и поручений Президента Российской Федерации издает постановления и распоряжения, а также обеспечивает их исполнение. Акты Правительства Российской Федерации, имеющие нормативный характер, издаются в форме постановлений Правительства Российской Федерации (</w:t>
      </w:r>
      <w:hyperlink r:id="rId91" w:anchor="dst10002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конституционного закона от 6 ноября 2020 г. N 4-ФКЗ "О Правительстве Российской Федерации"). Аналогичные полномочия Правительства Российской Федерации на момент принятия оспариваемого нормативного правового </w:t>
      </w:r>
      <w:hyperlink r:id="rId9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содержались в </w:t>
      </w:r>
      <w:hyperlink r:id="rId93" w:anchor="dst100140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23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конституционного закона от 17 декабря 1997 г. N 2-ФКЗ "О Правительстве Российской Федерации".</w:t>
      </w:r>
    </w:p>
    <w:p w:rsidR="00197BBB" w:rsidRPr="00E45607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5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Реализуя предоставленные полномочия, Правительство Российской Федерации постановлением от 2 декабря 2017 г. N 1465 утвердило </w:t>
      </w:r>
      <w:hyperlink r:id="rId94" w:anchor="dst100014" w:history="1">
        <w:r w:rsidRPr="00E4560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Положение</w:t>
        </w:r>
      </w:hyperlink>
      <w:r w:rsidRPr="00E45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соблюдением порядка введения в действие, который проверен вступившим законную силу </w:t>
      </w:r>
      <w:hyperlink r:id="rId95" w:history="1">
        <w:r w:rsidRPr="00E4560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решением</w:t>
        </w:r>
      </w:hyperlink>
      <w:r w:rsidRPr="00E45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Верховного Суда Российской Федерации от 12 января 2022 г. N АКПИ21-894.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основы государственного регулирования цен на продукцию по государственному оборонному заказу закреплены в </w:t>
      </w:r>
      <w:hyperlink r:id="rId96" w:anchor="dst10010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4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оборонном заказе. Цели и принципы государственного регулирования цен на продукцию по государственному оборонному заказу определены в </w:t>
      </w:r>
      <w:hyperlink r:id="rId97" w:anchor="dst10010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9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закона, согласно которой указанное государственное регулирование осуществляется в целях эффективного использования бюджетных средств и создания 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исполнителя, исполнителя и основывается на следующих основных принципах: 1) единое нормативно-правовое обеспечение для всех участников размещения и выполнения государственного оборонного заказа; 2) стимулирование снижения затрат на поставки продукции по государственному оборонному заказу; 3) обеспечение прибыльности поставок продукции по государственному оборонному заказу; 4) обоснованность затрат головного исполнителя, исполнителя; 5) применение мер антимонопольного регулирования; 6) соблюдение баланса интересов государственного заказчика и головного исполнителя, исполнителя.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государственного регулирования цен на продукцию по государственному оборонному заказу приведены в </w:t>
      </w:r>
      <w:hyperlink r:id="rId98" w:anchor="dst10011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10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закона, в силу </w:t>
      </w:r>
      <w:hyperlink r:id="rId99" w:anchor="dst10011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данное государственное регулирование осуществляется посредством: 1) утверждения перечней продукции по государственному оборонному заказу, на которую распространяется государственное регулирование цен; 2) установления правил определения начальной (максимальной) цены государственного контракта при размещении заказов путем использования конкурентных способов определения поставщиков (исполнителей, подрядчиков), а также цены государственного контракта в случае размещения государственного оборонного заказа у единственного поставщика (исполнителя, подрядчика); 3) применения различных видов цен на продукцию по государственному оборонному заказу; 4) учета в структуре цены на продукцию по государственному оборонному заказу произведенных затрат на ее производство и реализацию; 5) утверждения методических рекомендаций по расчету цен на продукцию по государственному оборонному заказу при заключении государственных контрактов; 6) определения минимального и максимального размеров рентабельности (прибыли) и порядка их применения при расчете цен на продукцию по государственному оборонному заказу с учетом средств, которые необходимы головному исполнителю, исполнителю для развития производственных мощностей и обслуживания привлеченного капитала, обеспечивающих выполнение государственного оборонного заказа, а также с учетом финансовой поддержки, оказываемой государством в целях выполнения государственного оборонного заказа; 7) обеспечения оплаты головному исполнителю, исполнителю экономически обоснованных затрат, связанных с выполнением государственного оборонного заказа; 8) государственной регистрации цен на продукцию по государственному оборонному заказу; 9) ведения реестра цен на продукцию по государственному оборонному заказу; 10) осуществления государственного контроля за применением цен на продукцию по государственному оборонному заказу при формировании, размещении и выполнении государственного оборонного заказа; 11) осуществления головным исполнителем, исполнителем раздельного учета результатов финансово-хозяйственной деятельности по каждому государственному контракту, контракту.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государственного регулирования цен на продукцию, поставляемую по государственному оборонному заказу, полномочия федеральных органов исполнительной власти, Государственной корпорации по атомной энергии "Росатом" и Государственной корпорации по космической деятельности "Роскосмос" по государственному регулированию цен в сфере государственного оборонного заказа устанавливаются Правительством Российской Федерации </w:t>
      </w:r>
      <w:hyperlink r:id="rId100" w:anchor="dst10069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(часть 2 статьи 10)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содержания </w:t>
      </w:r>
      <w:hyperlink r:id="rId101" w:anchor="dst10012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поименованного закона, при заключении контракта в случае размещения государственного оборонного заказа у единственного поставщика (исполнителя, подрядчика) применяются следующие виды цен на продукцию по государственному оборонному заказу: 1) ориентировочная (уточняемая) цена; 2) фиксированная цена; 3) цена, возмещающая издержки </w:t>
      </w:r>
      <w:hyperlink r:id="rId102" w:anchor="dst10012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(часть 1)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и порядок применения видов цен на продукцию по государственному оборонному заказу устанавливаются Правительством Российской Федерации </w:t>
      </w:r>
      <w:hyperlink r:id="rId103" w:anchor="dst10013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(часть 2)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обязанности головного исполнителя и исполнителя закреплены в </w:t>
      </w:r>
      <w:hyperlink r:id="rId104" w:anchor="dst100259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оборонном заказе. В частности, головной исполнитель определяет состав исполнителей, обосновывает с их участием цену на продукцию по государственному оборонному заказу, сроки и условия финансирования, в том числе авансирования, поставок такой продукции (в целом и по отдельным этапам). При формировании, уточнении государственного оборонного заказа (до заключения государственного контракта) головной исполнитель, определенный в установленном порядке, раскрывает с соблюдением требований законодательства Российской Федерации о государственной тайне информацию о его кооперации, а также обосновывает цену на такую продукцию (в том числе на каждом этапе исполнения государственного контракта), возможные сроки и порядок формирования ее поставок. Порядок формирования кооперации устанавливается Правительством Российской Федерации; ведет раздельный учет результатов финансово-хозяйственной деятельности по каждому государственному контракту и представляет государственному заказчику информацию об исполнении каждого государственного контракта в случаях и порядке, установленных Правительством Российской Федерации; представляет по запросу государственного заказчика, контролирующего органа информацию о цене предлагаемой к поставке продукции, соответствующие расчетно-калькуляционные материалы, а также информацию о затратах по исполненным государственным контрактам, контрактам; представляет государственному заказчику подготовленные совместно с исполнителями обоснования, необходимые для изменения цены государственного контракта, а в случае увеличения цены государственного контракта представляет также перечень мер, направленных на сокращение издержек (</w:t>
      </w:r>
      <w:hyperlink r:id="rId105" w:anchor="dst10026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6" w:anchor="dst100716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7" w:anchor="dst100280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 части 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Исполнитель ведет раздельный учет результатов финансово-хозяйственной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порядке, установленных Правительством Российской Федерации; предоставляет по запросу головного исполнителя информацию о затратах по исполненным контрактам (</w:t>
      </w:r>
      <w:hyperlink r:id="rId108" w:anchor="dst100720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16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9" w:anchor="dst75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 части 2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anchor="dst10017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расположен в </w:t>
      </w:r>
      <w:hyperlink r:id="rId111" w:anchor="dst100065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II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регулирующей методы определения цены на продукцию, и содержит перечень обосновывающих документов при предоставлении предложений о цене (прогнозной цене) продукции, сформированных с использованием методов определения цены, установленных </w:t>
      </w:r>
      <w:hyperlink r:id="rId112" w:anchor="dst10001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607" w:rsidRPr="00E45607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hyperlink r:id="rId113" w:anchor="dst10017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содержащийся в нем перечень документов, в том числе приведенный в оспариваемых административным истцом </w:t>
      </w:r>
      <w:hyperlink r:id="rId114" w:anchor="dst10018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пятом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5" w:anchor="dst10018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шестом подпункта "г"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6" w:anchor="dst10021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"м"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54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6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не противоречат приведенным положениям</w:t>
      </w:r>
      <w:r w:rsidRPr="00E45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Федерального </w:t>
      </w:r>
      <w:hyperlink r:id="rId117" w:history="1">
        <w:r w:rsidRPr="00E4560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закона</w:t>
        </w:r>
      </w:hyperlink>
      <w:r w:rsidRPr="00E456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 оборонном заказе и не содержат какой-либо правовой неопределенности. </w:t>
      </w:r>
    </w:p>
    <w:p w:rsidR="00197BBB" w:rsidRPr="00E45607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456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 этом в силу </w:t>
      </w:r>
      <w:hyperlink r:id="rId118" w:anchor="dst100259" w:history="1">
        <w:r w:rsidRPr="00E45607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статьи 8</w:t>
        </w:r>
      </w:hyperlink>
      <w:r w:rsidRPr="00E456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Федерального закона об оборонном заказе представление указанных документов является основной обязанностью головного исполнителя и исполнителя.</w:t>
      </w:r>
    </w:p>
    <w:p w:rsidR="00197BBB" w:rsidRPr="00C45409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40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Какой-либо нормативный правовой акт, имеющий большую юридическую силу, который бы устанавливал иное правовое регулирование, отсутствует.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</w:t>
      </w:r>
      <w:hyperlink r:id="rId119" w:anchor="dst10021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предусмотрено, что формы документов, предусмотренных </w:t>
      </w:r>
      <w:hyperlink r:id="rId120" w:anchor="dst10017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1" w:anchor="dst100176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пункта 37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утверждаются Федеральной антимонопольной службой по согласованию с отраслевыми органами и Министерством обороны Российской Федерации.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данного предписания Федеральная антимонопольная служба приказами от 31 января 2018 г. </w:t>
      </w:r>
      <w:hyperlink r:id="rId12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116/18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(утратил силу с 26 октября 2019 г.) и от 26 августа 2019 г. </w:t>
      </w:r>
      <w:hyperlink r:id="rId12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1138/19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утвердила формы документов, предусмотренных </w:t>
      </w:r>
      <w:hyperlink r:id="rId124" w:anchor="dst10001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акты, вопреки доводам административного истца, не содержат норм, предусматривающих придание им обратной силы и распространение на отношения, возникшие до их вступления в силу.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0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При переводе в фиксированную цену иных видов цен головной исполнитель для обоснования затрат по контрактам с соисполнителями, закрытыми до вступления в силу </w:t>
      </w:r>
      <w:hyperlink r:id="rId125" w:anchor="dst100014" w:history="1">
        <w:r w:rsidRPr="00E4560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u w:val="single"/>
            <w:lang w:eastAsia="ru-RU"/>
          </w:rPr>
          <w:t>Положения</w:t>
        </w:r>
      </w:hyperlink>
      <w:r w:rsidRPr="00E4560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, </w:t>
      </w:r>
      <w:r w:rsidRPr="00E45607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ru-RU"/>
        </w:rPr>
        <w:t>должен представить государственному заказчику в качестве обосновывающих документов те документы, которые были определены условиями государственного контракта</w:t>
      </w:r>
      <w:r w:rsidRPr="00E4560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этим же основаниям не могут быть признаны обоснованными доводы административного истца о несоответствии </w:t>
      </w:r>
      <w:hyperlink r:id="rId126" w:anchor="dst22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 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7" w:anchor="dst10076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124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</w:t>
      </w:r>
      <w:hyperlink r:id="rId128" w:anchor="dst10021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"м" пункта 37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</w:t>
      </w:r>
      <w:r w:rsidRPr="006A42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предусматривающего представление дополнительных обосновывающих документов с учетом отраслевой и ведомственной специфики поставок продукции по государственному оборонному заказу согласно утвержденным государственными заказчиками нормативным правовым актам, и не содержащего противоречащих нормативным правовым актам большей юридической силы предписаний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Нельзя согласиться с утверждениями административного истца о наличии в оспариваемых им нормах </w:t>
      </w:r>
      <w:proofErr w:type="spellStart"/>
      <w:r w:rsidRPr="006A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коррупциогенных</w:t>
      </w:r>
      <w:proofErr w:type="spellEnd"/>
      <w:r w:rsidRPr="006A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факторов. По смыслу </w:t>
      </w:r>
      <w:hyperlink r:id="rId129" w:anchor="dst100010" w:history="1">
        <w:r w:rsidRPr="006A423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2 статьи 1</w:t>
        </w:r>
      </w:hyperlink>
      <w:r w:rsidRPr="006A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N 172-ФЗ </w:t>
      </w:r>
      <w:proofErr w:type="spellStart"/>
      <w:r w:rsidRPr="006A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коррупциогенными</w:t>
      </w:r>
      <w:proofErr w:type="spellEnd"/>
      <w:r w:rsidRPr="006A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устанавливающие для </w:t>
      </w:r>
      <w:proofErr w:type="spellStart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Таких положений предписания </w:t>
      </w:r>
      <w:hyperlink r:id="rId130" w:anchor="dst10018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абзацев пятого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1" w:anchor="dst10018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шестого подпункта "г"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2" w:anchor="dst10021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"м" пункта 37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оспариваемого акта не содержат.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Несостоятельными являются доводы Общества о том, что </w:t>
      </w:r>
      <w:hyperlink r:id="rId133" w:anchor="dst100243" w:history="1">
        <w:r w:rsidRPr="006A423B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пункт 48</w:t>
        </w:r>
      </w:hyperlink>
      <w:r w:rsidRPr="006A42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Положения устанавливает неопределенные, неоднозначные правила, необоснованно широкие пределы усмотрения государственного заказчика, не ограниченного в объеме и сроках запросов дополнительных документов, обосновывающих цену государственного контракта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Pr="00197BBB" w:rsidRDefault="00197BBB" w:rsidP="00C454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Вопреки доводам административного истца требование об экономически обоснованной цене вытекает непосредственно из Федерального </w:t>
      </w:r>
      <w:hyperlink r:id="rId13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оборонном заказе, </w:t>
      </w:r>
      <w:hyperlink r:id="rId135" w:anchor="dst100305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части 3 статьи 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запрещены действия (бездействие) головного исполнителя, исполнителя, влекущие за собой необоснованное завышение цены на продукцию по государственному оборонному заказу, неисполнение или ненадлежащее исполнение государственного контракта, контракта, в том числе действия (бездействие), направленные на установление экономически, технологически и (или) иным образом не обоснованной цены на продукцию, поставляемую заказчику или головному исполнителю, исполнителю, превышающей цену, сложившуюся на соответствующем товарном рынке.</w:t>
      </w:r>
    </w:p>
    <w:p w:rsidR="00197BBB" w:rsidRPr="006A423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A423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Обязанность представления обосновывающих документов, приведенных в </w:t>
      </w:r>
      <w:hyperlink r:id="rId136" w:anchor="dst100245" w:history="1">
        <w:r w:rsidRPr="006A423B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highlight w:val="yellow"/>
            <w:u w:val="single"/>
            <w:lang w:eastAsia="ru-RU"/>
          </w:rPr>
          <w:t>пунктах "а"</w:t>
        </w:r>
      </w:hyperlink>
      <w:r w:rsidRPr="006A423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 - </w:t>
      </w:r>
      <w:hyperlink r:id="rId137" w:anchor="dst100248" w:history="1">
        <w:r w:rsidRPr="006A423B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highlight w:val="yellow"/>
            <w:u w:val="single"/>
            <w:lang w:eastAsia="ru-RU"/>
          </w:rPr>
          <w:t>"г" пункта 48</w:t>
        </w:r>
      </w:hyperlink>
      <w:r w:rsidRPr="006A423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 Положения, вытекает из основных обязанностей головного исполнителя, исполнителя, закрепленных в </w:t>
      </w:r>
      <w:hyperlink r:id="rId138" w:anchor="dst100259" w:history="1">
        <w:r w:rsidRPr="006A423B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highlight w:val="yellow"/>
            <w:u w:val="single"/>
            <w:lang w:eastAsia="ru-RU"/>
          </w:rPr>
          <w:t>статье 8</w:t>
        </w:r>
      </w:hyperlink>
      <w:r w:rsidRPr="006A423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 Федерального закона об оборонном заказе.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anchor="dst10025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50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0" w:anchor="dst10025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регулируют права и обязанности государственного заказчика и не возлагают какие-либо обязанности на головного исполнителя и исполнителя.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0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Нормы данных пунктов являются четкими и определенными, неоднозначного толкования не вызывают и полностью согласуются с основными обязанностями государственного заказчика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закрепленными в </w:t>
      </w:r>
      <w:hyperlink r:id="rId141" w:anchor="dst10023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оборонном заказе, в силу которой государственный заказчик формирует начальную (максимальную)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(исполнителей, подрядчиков), а также цену государственного контракта при размещении государственного оборонного заказа у единственного поставщика (исполнителя, подрядчика) в соответствии с законодательством Российской Федерации; заключает государственные контракты и принимает необходимые меры по их исполнению (</w:t>
      </w:r>
      <w:hyperlink r:id="rId142" w:anchor="dst10023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3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3" w:anchor="dst100238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Учитывая, что оспариваемые нормы </w:t>
      </w:r>
      <w:hyperlink r:id="rId144" w:anchor="dst100014" w:history="1">
        <w:r w:rsidRPr="006A423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Положения</w:t>
        </w:r>
      </w:hyperlink>
      <w:r w:rsidRPr="006A42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соответствуют Федеральному </w:t>
      </w:r>
      <w:hyperlink r:id="rId145" w:history="1">
        <w:r w:rsidRPr="006A423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закону</w:t>
        </w:r>
      </w:hyperlink>
      <w:r w:rsidRPr="006A42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об оборонном заказе, не нарушают права и законные интересы административного истца, на основании </w:t>
      </w:r>
      <w:hyperlink r:id="rId146" w:anchor="dst101398" w:history="1">
        <w:r w:rsidRPr="006A423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пункта 2 части 2 статьи 215</w:t>
        </w:r>
      </w:hyperlink>
      <w:r w:rsidRPr="006A423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Кодекса административного судопроизводства Российской Федерации в удовлетворении заявленного требования следует отказать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147" w:anchor="dst10113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175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8" w:anchor="dst10113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176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9" w:anchor="dst10115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180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0" w:anchor="dst101394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215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административного судопроизводства Российской Федерации, Верховный Суд Российской Федерации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97BBB" w:rsidRPr="00A52DF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423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удовлетворении административного искового заявления</w:t>
      </w: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"Производственное объединение "Северное машиностроительное предприятие" о признании недействующими </w:t>
      </w:r>
      <w:hyperlink r:id="rId151" w:anchor="dst10018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абзацев пятого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2" w:anchor="dst100182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шестого подпункта "г"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3" w:anchor="dst10021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"м" пункта 37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4" w:anchor="dst100243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48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5" w:anchor="dst100251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6" w:anchor="dst100257" w:history="1">
        <w:r w:rsidRPr="00197B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г. N 1465, </w:t>
      </w:r>
      <w:r w:rsidRPr="00A52DFB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отказать.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Апелляционную коллегию Верховного Суда Российской Федерации в течение одного месяца со дня принятия решения суда в окончательной форме.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Верховного Суда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А.М.НАЗАРОВА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Верховного Суда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В.С.КИРИЛЛОВ</w:t>
      </w:r>
    </w:p>
    <w:p w:rsidR="00197BBB" w:rsidRPr="00197BBB" w:rsidRDefault="00197BBB" w:rsidP="00197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BB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О.Н.НЕФЕДОВ</w:t>
      </w:r>
    </w:p>
    <w:p w:rsidR="00197BBB" w:rsidRDefault="00197BBB"/>
    <w:sectPr w:rsidR="00197BBB" w:rsidSect="00A52DFB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BB"/>
    <w:rsid w:val="000B1E2B"/>
    <w:rsid w:val="00197BBB"/>
    <w:rsid w:val="0020755E"/>
    <w:rsid w:val="005A29F9"/>
    <w:rsid w:val="005B742F"/>
    <w:rsid w:val="006A423B"/>
    <w:rsid w:val="00A52DFB"/>
    <w:rsid w:val="00C45409"/>
    <w:rsid w:val="00E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651"/>
  <w15:chartTrackingRefBased/>
  <w15:docId w15:val="{A91152A1-786C-49C0-AAD7-7BA38304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19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BBB"/>
    <w:rPr>
      <w:color w:val="0000FF"/>
      <w:u w:val="single"/>
    </w:rPr>
  </w:style>
  <w:style w:type="paragraph" w:customStyle="1" w:styleId="alignright">
    <w:name w:val="align_right"/>
    <w:basedOn w:val="a"/>
    <w:rsid w:val="0019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417588/3bf9c09bb6dd236b6722693100a385633abc5aaf/" TargetMode="External"/><Relationship Id="rId117" Type="http://schemas.openxmlformats.org/officeDocument/2006/relationships/hyperlink" Target="http://www.consultant.ru/document/cons_doc_LAW_420487/" TargetMode="External"/><Relationship Id="rId21" Type="http://schemas.openxmlformats.org/officeDocument/2006/relationships/hyperlink" Target="http://www.consultant.ru/document/cons_doc_LAW_417588/3bf9c09bb6dd236b6722693100a385633abc5aaf/" TargetMode="External"/><Relationship Id="rId42" Type="http://schemas.openxmlformats.org/officeDocument/2006/relationships/hyperlink" Target="http://www.consultant.ru/document/cons_doc_LAW_417588/03db4c84991693c1b7f08599c4a61d90aac28aa6/" TargetMode="External"/><Relationship Id="rId47" Type="http://schemas.openxmlformats.org/officeDocument/2006/relationships/hyperlink" Target="http://www.consultant.ru/document/cons_doc_LAW_308817/" TargetMode="External"/><Relationship Id="rId63" Type="http://schemas.openxmlformats.org/officeDocument/2006/relationships/hyperlink" Target="http://www.consultant.ru/document/cons_doc_LAW_417588/03db4c84991693c1b7f08599c4a61d90aac28aa6/" TargetMode="External"/><Relationship Id="rId68" Type="http://schemas.openxmlformats.org/officeDocument/2006/relationships/hyperlink" Target="http://www.consultant.ru/document/cons_doc_LAW_308817/" TargetMode="External"/><Relationship Id="rId84" Type="http://schemas.openxmlformats.org/officeDocument/2006/relationships/hyperlink" Target="http://www.consultant.ru/document/cons_doc_LAW_417588/e6fefa59db7575b57e678819ab65a3190fd6b2de/" TargetMode="External"/><Relationship Id="rId89" Type="http://schemas.openxmlformats.org/officeDocument/2006/relationships/hyperlink" Target="http://www.consultant.ru/document/cons_doc_LAW_420487/96e506543b50cd5326a74629e98d855931c21aa0/" TargetMode="External"/><Relationship Id="rId112" Type="http://schemas.openxmlformats.org/officeDocument/2006/relationships/hyperlink" Target="http://www.consultant.ru/document/cons_doc_LAW_417588/a2b456be63886f5c6933ee5b7d51e24c3dd08bc6/" TargetMode="External"/><Relationship Id="rId133" Type="http://schemas.openxmlformats.org/officeDocument/2006/relationships/hyperlink" Target="http://www.consultant.ru/document/cons_doc_LAW_417588/03db4c84991693c1b7f08599c4a61d90aac28aa6/" TargetMode="External"/><Relationship Id="rId138" Type="http://schemas.openxmlformats.org/officeDocument/2006/relationships/hyperlink" Target="http://www.consultant.ru/document/cons_doc_LAW_420487/42da8a68e1975e0d1c5e76ddde466554341193d3/" TargetMode="External"/><Relationship Id="rId154" Type="http://schemas.openxmlformats.org/officeDocument/2006/relationships/hyperlink" Target="http://www.consultant.ru/document/cons_doc_LAW_417588/03db4c84991693c1b7f08599c4a61d90aac28aa6/" TargetMode="External"/><Relationship Id="rId16" Type="http://schemas.openxmlformats.org/officeDocument/2006/relationships/hyperlink" Target="http://www.consultant.ru/document/cons_doc_LAW_417588/25167685e26ddbda270e3894d72edc152f9732eb/" TargetMode="External"/><Relationship Id="rId107" Type="http://schemas.openxmlformats.org/officeDocument/2006/relationships/hyperlink" Target="http://www.consultant.ru/document/cons_doc_LAW_420487/42da8a68e1975e0d1c5e76ddde466554341193d3/" TargetMode="External"/><Relationship Id="rId11" Type="http://schemas.openxmlformats.org/officeDocument/2006/relationships/hyperlink" Target="http://www.consultant.ru/document/cons_doc_LAW_417588/a2b456be63886f5c6933ee5b7d51e24c3dd08bc6/" TargetMode="External"/><Relationship Id="rId32" Type="http://schemas.openxmlformats.org/officeDocument/2006/relationships/hyperlink" Target="http://www.consultant.ru/document/cons_doc_LAW_417588/03db4c84991693c1b7f08599c4a61d90aac28aa6/" TargetMode="External"/><Relationship Id="rId37" Type="http://schemas.openxmlformats.org/officeDocument/2006/relationships/hyperlink" Target="http://www.consultant.ru/document/cons_doc_LAW_417588/03db4c84991693c1b7f08599c4a61d90aac28aa6/" TargetMode="External"/><Relationship Id="rId53" Type="http://schemas.openxmlformats.org/officeDocument/2006/relationships/hyperlink" Target="http://www.consultant.ru/document/cons_doc_LAW_417588/03db4c84991693c1b7f08599c4a61d90aac28aa6/" TargetMode="External"/><Relationship Id="rId58" Type="http://schemas.openxmlformats.org/officeDocument/2006/relationships/hyperlink" Target="http://www.consultant.ru/document/cons_doc_LAW_410306/d65fbe0a603d59546c3338bcfc6bf09bb0332817/" TargetMode="External"/><Relationship Id="rId74" Type="http://schemas.openxmlformats.org/officeDocument/2006/relationships/hyperlink" Target="http://www.consultant.ru/document/cons_doc_LAW_410306/99b7be87680eed1c2e9c4f0738d52a442645ce07/" TargetMode="External"/><Relationship Id="rId79" Type="http://schemas.openxmlformats.org/officeDocument/2006/relationships/hyperlink" Target="http://www.consultant.ru/document/cons_doc_LAW_420487/" TargetMode="External"/><Relationship Id="rId102" Type="http://schemas.openxmlformats.org/officeDocument/2006/relationships/hyperlink" Target="http://www.consultant.ru/document/cons_doc_LAW_420487/95e8c3b05edb1a60675216d30a5099c3d96f75ec/" TargetMode="External"/><Relationship Id="rId123" Type="http://schemas.openxmlformats.org/officeDocument/2006/relationships/hyperlink" Target="http://www.consultant.ru/document/cons_doc_LAW_335776/" TargetMode="External"/><Relationship Id="rId128" Type="http://schemas.openxmlformats.org/officeDocument/2006/relationships/hyperlink" Target="http://www.consultant.ru/document/cons_doc_LAW_417588/25167685e26ddbda270e3894d72edc152f9732eb/" TargetMode="External"/><Relationship Id="rId144" Type="http://schemas.openxmlformats.org/officeDocument/2006/relationships/hyperlink" Target="http://www.consultant.ru/document/cons_doc_LAW_417588/a2b456be63886f5c6933ee5b7d51e24c3dd08bc6/" TargetMode="External"/><Relationship Id="rId149" Type="http://schemas.openxmlformats.org/officeDocument/2006/relationships/hyperlink" Target="http://www.consultant.ru/document/cons_doc_LAW_404191/a1b5f926f9defba735571a9c3a212ac4eeacb0bb/" TargetMode="External"/><Relationship Id="rId5" Type="http://schemas.openxmlformats.org/officeDocument/2006/relationships/hyperlink" Target="http://www.consultant.ru/document/cons_doc_LAW_417588/25167685e26ddbda270e3894d72edc152f9732eb/" TargetMode="External"/><Relationship Id="rId90" Type="http://schemas.openxmlformats.org/officeDocument/2006/relationships/hyperlink" Target="http://www.consultant.ru/document/cons_doc_LAW_2875/" TargetMode="External"/><Relationship Id="rId95" Type="http://schemas.openxmlformats.org/officeDocument/2006/relationships/hyperlink" Target="http://www.consultant.ru/document/cons_doc_LAW_409680/" TargetMode="External"/><Relationship Id="rId22" Type="http://schemas.openxmlformats.org/officeDocument/2006/relationships/hyperlink" Target="http://www.consultant.ru/document/cons_doc_LAW_417588/e6fefa59db7575b57e678819ab65a3190fd6b2de/" TargetMode="External"/><Relationship Id="rId27" Type="http://schemas.openxmlformats.org/officeDocument/2006/relationships/hyperlink" Target="http://www.consultant.ru/document/cons_doc_LAW_417588/03db4c84991693c1b7f08599c4a61d90aac28aa6/" TargetMode="External"/><Relationship Id="rId43" Type="http://schemas.openxmlformats.org/officeDocument/2006/relationships/hyperlink" Target="http://www.consultant.ru/document/cons_doc_LAW_417588/03db4c84991693c1b7f08599c4a61d90aac28aa6/" TargetMode="External"/><Relationship Id="rId48" Type="http://schemas.openxmlformats.org/officeDocument/2006/relationships/hyperlink" Target="http://www.consultant.ru/document/cons_doc_LAW_417588/25167685e26ddbda270e3894d72edc152f9732eb/" TargetMode="External"/><Relationship Id="rId64" Type="http://schemas.openxmlformats.org/officeDocument/2006/relationships/hyperlink" Target="http://www.consultant.ru/document/cons_doc_LAW_417588/03db4c84991693c1b7f08599c4a61d90aac28aa6/" TargetMode="External"/><Relationship Id="rId69" Type="http://schemas.openxmlformats.org/officeDocument/2006/relationships/hyperlink" Target="http://www.consultant.ru/document/cons_doc_LAW_417588/03db4c84991693c1b7f08599c4a61d90aac28aa6/" TargetMode="External"/><Relationship Id="rId113" Type="http://schemas.openxmlformats.org/officeDocument/2006/relationships/hyperlink" Target="http://www.consultant.ru/document/cons_doc_LAW_417588/25167685e26ddbda270e3894d72edc152f9732eb/" TargetMode="External"/><Relationship Id="rId118" Type="http://schemas.openxmlformats.org/officeDocument/2006/relationships/hyperlink" Target="http://www.consultant.ru/document/cons_doc_LAW_420487/42da8a68e1975e0d1c5e76ddde466554341193d3/" TargetMode="External"/><Relationship Id="rId134" Type="http://schemas.openxmlformats.org/officeDocument/2006/relationships/hyperlink" Target="http://www.consultant.ru/document/cons_doc_LAW_420487/" TargetMode="External"/><Relationship Id="rId139" Type="http://schemas.openxmlformats.org/officeDocument/2006/relationships/hyperlink" Target="http://www.consultant.ru/document/cons_doc_LAW_417588/03db4c84991693c1b7f08599c4a61d90aac28aa6/" TargetMode="External"/><Relationship Id="rId80" Type="http://schemas.openxmlformats.org/officeDocument/2006/relationships/hyperlink" Target="http://www.consultant.ru/document/cons_doc_LAW_417588/03db4c84991693c1b7f08599c4a61d90aac28aa6/" TargetMode="External"/><Relationship Id="rId85" Type="http://schemas.openxmlformats.org/officeDocument/2006/relationships/hyperlink" Target="http://www.consultant.ru/document/cons_doc_LAW_417588/" TargetMode="External"/><Relationship Id="rId150" Type="http://schemas.openxmlformats.org/officeDocument/2006/relationships/hyperlink" Target="http://www.consultant.ru/document/cons_doc_LAW_404191/2c9714bcf7d7779c4434d556872203acbd7470bf/" TargetMode="External"/><Relationship Id="rId155" Type="http://schemas.openxmlformats.org/officeDocument/2006/relationships/hyperlink" Target="http://www.consultant.ru/document/cons_doc_LAW_417588/03db4c84991693c1b7f08599c4a61d90aac28aa6/" TargetMode="External"/><Relationship Id="rId12" Type="http://schemas.openxmlformats.org/officeDocument/2006/relationships/hyperlink" Target="http://www.consultant.ru/document/cons_doc_LAW_417588/25167685e26ddbda270e3894d72edc152f9732eb/" TargetMode="External"/><Relationship Id="rId17" Type="http://schemas.openxmlformats.org/officeDocument/2006/relationships/hyperlink" Target="http://www.consultant.ru/document/cons_doc_LAW_417588/25167685e26ddbda270e3894d72edc152f9732eb/" TargetMode="External"/><Relationship Id="rId33" Type="http://schemas.openxmlformats.org/officeDocument/2006/relationships/hyperlink" Target="http://www.consultant.ru/document/cons_doc_LAW_417588/03db4c84991693c1b7f08599c4a61d90aac28aa6/" TargetMode="External"/><Relationship Id="rId38" Type="http://schemas.openxmlformats.org/officeDocument/2006/relationships/hyperlink" Target="http://www.consultant.ru/document/cons_doc_LAW_417588/03db4c84991693c1b7f08599c4a61d90aac28aa6/" TargetMode="External"/><Relationship Id="rId59" Type="http://schemas.openxmlformats.org/officeDocument/2006/relationships/hyperlink" Target="http://www.consultant.ru/document/cons_doc_LAW_410306/99b7be87680eed1c2e9c4f0738d52a442645ce07/" TargetMode="External"/><Relationship Id="rId103" Type="http://schemas.openxmlformats.org/officeDocument/2006/relationships/hyperlink" Target="http://www.consultant.ru/document/cons_doc_LAW_420487/95e8c3b05edb1a60675216d30a5099c3d96f75ec/" TargetMode="External"/><Relationship Id="rId108" Type="http://schemas.openxmlformats.org/officeDocument/2006/relationships/hyperlink" Target="http://www.consultant.ru/document/cons_doc_LAW_420487/42da8a68e1975e0d1c5e76ddde466554341193d3/" TargetMode="External"/><Relationship Id="rId124" Type="http://schemas.openxmlformats.org/officeDocument/2006/relationships/hyperlink" Target="http://www.consultant.ru/document/cons_doc_LAW_417588/a2b456be63886f5c6933ee5b7d51e24c3dd08bc6/" TargetMode="External"/><Relationship Id="rId129" Type="http://schemas.openxmlformats.org/officeDocument/2006/relationships/hyperlink" Target="http://www.consultant.ru/document/cons_doc_LAW_308817/3d0cac60971a511280cbba229d9b6329c07731f7/" TargetMode="External"/><Relationship Id="rId20" Type="http://schemas.openxmlformats.org/officeDocument/2006/relationships/hyperlink" Target="http://www.consultant.ru/document/cons_doc_LAW_417588/03db4c84991693c1b7f08599c4a61d90aac28aa6/" TargetMode="External"/><Relationship Id="rId41" Type="http://schemas.openxmlformats.org/officeDocument/2006/relationships/hyperlink" Target="http://www.consultant.ru/document/cons_doc_LAW_417588/e6fefa59db7575b57e678819ab65a3190fd6b2de/" TargetMode="External"/><Relationship Id="rId54" Type="http://schemas.openxmlformats.org/officeDocument/2006/relationships/hyperlink" Target="http://www.consultant.ru/document/cons_doc_LAW_417588/03db4c84991693c1b7f08599c4a61d90aac28aa6/" TargetMode="External"/><Relationship Id="rId62" Type="http://schemas.openxmlformats.org/officeDocument/2006/relationships/hyperlink" Target="http://www.consultant.ru/document/cons_doc_LAW_417588/03db4c84991693c1b7f08599c4a61d90aac28aa6/" TargetMode="External"/><Relationship Id="rId70" Type="http://schemas.openxmlformats.org/officeDocument/2006/relationships/hyperlink" Target="http://www.consultant.ru/document/cons_doc_LAW_417588/03db4c84991693c1b7f08599c4a61d90aac28aa6/" TargetMode="External"/><Relationship Id="rId75" Type="http://schemas.openxmlformats.org/officeDocument/2006/relationships/hyperlink" Target="http://www.consultant.ru/document/cons_doc_LAW_417588/03db4c84991693c1b7f08599c4a61d90aac28aa6/" TargetMode="External"/><Relationship Id="rId83" Type="http://schemas.openxmlformats.org/officeDocument/2006/relationships/hyperlink" Target="http://www.consultant.ru/document/cons_doc_LAW_417588/03db4c84991693c1b7f08599c4a61d90aac28aa6/" TargetMode="External"/><Relationship Id="rId88" Type="http://schemas.openxmlformats.org/officeDocument/2006/relationships/hyperlink" Target="http://www.consultant.ru/document/cons_doc_LAW_420487/" TargetMode="External"/><Relationship Id="rId91" Type="http://schemas.openxmlformats.org/officeDocument/2006/relationships/hyperlink" Target="http://www.consultant.ru/document/cons_doc_LAW_366950/4626e87bae831614969a531df561aac412e1d3be/" TargetMode="External"/><Relationship Id="rId96" Type="http://schemas.openxmlformats.org/officeDocument/2006/relationships/hyperlink" Target="http://www.consultant.ru/document/cons_doc_LAW_420487/8db459905dafc0f947387e259ad4d6d44f8e548b/" TargetMode="External"/><Relationship Id="rId111" Type="http://schemas.openxmlformats.org/officeDocument/2006/relationships/hyperlink" Target="http://www.consultant.ru/document/cons_doc_LAW_417588/25167685e26ddbda270e3894d72edc152f9732eb/" TargetMode="External"/><Relationship Id="rId132" Type="http://schemas.openxmlformats.org/officeDocument/2006/relationships/hyperlink" Target="http://www.consultant.ru/document/cons_doc_LAW_417588/25167685e26ddbda270e3894d72edc152f9732eb/" TargetMode="External"/><Relationship Id="rId140" Type="http://schemas.openxmlformats.org/officeDocument/2006/relationships/hyperlink" Target="http://www.consultant.ru/document/cons_doc_LAW_417588/03db4c84991693c1b7f08599c4a61d90aac28aa6/" TargetMode="External"/><Relationship Id="rId145" Type="http://schemas.openxmlformats.org/officeDocument/2006/relationships/hyperlink" Target="http://www.consultant.ru/document/cons_doc_LAW_420487/" TargetMode="External"/><Relationship Id="rId153" Type="http://schemas.openxmlformats.org/officeDocument/2006/relationships/hyperlink" Target="http://www.consultant.ru/document/cons_doc_LAW_417588/25167685e26ddbda270e3894d72edc152f9732e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7588/25167685e26ddbda270e3894d72edc152f9732eb/" TargetMode="External"/><Relationship Id="rId15" Type="http://schemas.openxmlformats.org/officeDocument/2006/relationships/hyperlink" Target="http://www.consultant.ru/document/cons_doc_LAW_417588/25167685e26ddbda270e3894d72edc152f9732eb/" TargetMode="External"/><Relationship Id="rId23" Type="http://schemas.openxmlformats.org/officeDocument/2006/relationships/hyperlink" Target="http://www.consultant.ru/document/cons_doc_LAW_417588/03db4c84991693c1b7f08599c4a61d90aac28aa6/" TargetMode="External"/><Relationship Id="rId28" Type="http://schemas.openxmlformats.org/officeDocument/2006/relationships/hyperlink" Target="http://www.consultant.ru/document/cons_doc_LAW_417588/03db4c84991693c1b7f08599c4a61d90aac28aa6/" TargetMode="External"/><Relationship Id="rId36" Type="http://schemas.openxmlformats.org/officeDocument/2006/relationships/hyperlink" Target="http://www.consultant.ru/document/cons_doc_LAW_417588/03db4c84991693c1b7f08599c4a61d90aac28aa6/" TargetMode="External"/><Relationship Id="rId49" Type="http://schemas.openxmlformats.org/officeDocument/2006/relationships/hyperlink" Target="http://www.consultant.ru/document/cons_doc_LAW_410306/d65fbe0a603d59546c3338bcfc6bf09bb0332817/" TargetMode="External"/><Relationship Id="rId57" Type="http://schemas.openxmlformats.org/officeDocument/2006/relationships/hyperlink" Target="http://www.consultant.ru/document/cons_doc_LAW_417588/03db4c84991693c1b7f08599c4a61d90aac28aa6/" TargetMode="External"/><Relationship Id="rId106" Type="http://schemas.openxmlformats.org/officeDocument/2006/relationships/hyperlink" Target="http://www.consultant.ru/document/cons_doc_LAW_420487/42da8a68e1975e0d1c5e76ddde466554341193d3/" TargetMode="External"/><Relationship Id="rId114" Type="http://schemas.openxmlformats.org/officeDocument/2006/relationships/hyperlink" Target="http://www.consultant.ru/document/cons_doc_LAW_417588/25167685e26ddbda270e3894d72edc152f9732eb/" TargetMode="External"/><Relationship Id="rId119" Type="http://schemas.openxmlformats.org/officeDocument/2006/relationships/hyperlink" Target="http://www.consultant.ru/document/cons_doc_LAW_417588/25167685e26ddbda270e3894d72edc152f9732eb/" TargetMode="External"/><Relationship Id="rId127" Type="http://schemas.openxmlformats.org/officeDocument/2006/relationships/hyperlink" Target="http://www.consultant.ru/document/cons_doc_LAW_410306/99b7be87680eed1c2e9c4f0738d52a442645ce07/" TargetMode="External"/><Relationship Id="rId10" Type="http://schemas.openxmlformats.org/officeDocument/2006/relationships/hyperlink" Target="http://www.pravo.gov.ru" TargetMode="External"/><Relationship Id="rId31" Type="http://schemas.openxmlformats.org/officeDocument/2006/relationships/hyperlink" Target="http://www.consultant.ru/document/cons_doc_LAW_417588/03db4c84991693c1b7f08599c4a61d90aac28aa6/" TargetMode="External"/><Relationship Id="rId44" Type="http://schemas.openxmlformats.org/officeDocument/2006/relationships/hyperlink" Target="http://www.consultant.ru/document/cons_doc_LAW_417588/a2b456be63886f5c6933ee5b7d51e24c3dd08bc6/" TargetMode="External"/><Relationship Id="rId52" Type="http://schemas.openxmlformats.org/officeDocument/2006/relationships/hyperlink" Target="http://www.consultant.ru/document/cons_doc_LAW_417588/03db4c84991693c1b7f08599c4a61d90aac28aa6/" TargetMode="External"/><Relationship Id="rId60" Type="http://schemas.openxmlformats.org/officeDocument/2006/relationships/hyperlink" Target="http://www.consultant.ru/document/cons_doc_LAW_417588/03db4c84991693c1b7f08599c4a61d90aac28aa6/" TargetMode="External"/><Relationship Id="rId65" Type="http://schemas.openxmlformats.org/officeDocument/2006/relationships/hyperlink" Target="http://www.consultant.ru/document/cons_doc_LAW_417588/25167685e26ddbda270e3894d72edc152f9732eb/" TargetMode="External"/><Relationship Id="rId73" Type="http://schemas.openxmlformats.org/officeDocument/2006/relationships/hyperlink" Target="http://www.consultant.ru/document/cons_doc_LAW_410306/d65fbe0a603d59546c3338bcfc6bf09bb0332817/" TargetMode="External"/><Relationship Id="rId78" Type="http://schemas.openxmlformats.org/officeDocument/2006/relationships/hyperlink" Target="http://www.consultant.ru/document/cons_doc_LAW_417588/03db4c84991693c1b7f08599c4a61d90aac28aa6/" TargetMode="External"/><Relationship Id="rId81" Type="http://schemas.openxmlformats.org/officeDocument/2006/relationships/hyperlink" Target="http://www.consultant.ru/document/cons_doc_LAW_417588/03db4c84991693c1b7f08599c4a61d90aac28aa6/" TargetMode="External"/><Relationship Id="rId86" Type="http://schemas.openxmlformats.org/officeDocument/2006/relationships/hyperlink" Target="http://www.consultant.ru/document/cons_doc_LAW_417588/" TargetMode="External"/><Relationship Id="rId94" Type="http://schemas.openxmlformats.org/officeDocument/2006/relationships/hyperlink" Target="http://www.consultant.ru/document/cons_doc_LAW_417588/a2b456be63886f5c6933ee5b7d51e24c3dd08bc6/" TargetMode="External"/><Relationship Id="rId99" Type="http://schemas.openxmlformats.org/officeDocument/2006/relationships/hyperlink" Target="http://www.consultant.ru/document/cons_doc_LAW_420487/96e506543b50cd5326a74629e98d855931c21aa0/" TargetMode="External"/><Relationship Id="rId101" Type="http://schemas.openxmlformats.org/officeDocument/2006/relationships/hyperlink" Target="http://www.consultant.ru/document/cons_doc_LAW_420487/95e8c3b05edb1a60675216d30a5099c3d96f75ec/" TargetMode="External"/><Relationship Id="rId122" Type="http://schemas.openxmlformats.org/officeDocument/2006/relationships/hyperlink" Target="http://www.consultant.ru/document/cons_doc_LAW_291413/" TargetMode="External"/><Relationship Id="rId130" Type="http://schemas.openxmlformats.org/officeDocument/2006/relationships/hyperlink" Target="http://www.consultant.ru/document/cons_doc_LAW_417588/25167685e26ddbda270e3894d72edc152f9732eb/" TargetMode="External"/><Relationship Id="rId135" Type="http://schemas.openxmlformats.org/officeDocument/2006/relationships/hyperlink" Target="http://www.consultant.ru/document/cons_doc_LAW_420487/42da8a68e1975e0d1c5e76ddde466554341193d3/" TargetMode="External"/><Relationship Id="rId143" Type="http://schemas.openxmlformats.org/officeDocument/2006/relationships/hyperlink" Target="http://www.consultant.ru/document/cons_doc_LAW_420487/d937eace916904e588891489289ffc3063adc66c/" TargetMode="External"/><Relationship Id="rId148" Type="http://schemas.openxmlformats.org/officeDocument/2006/relationships/hyperlink" Target="http://www.consultant.ru/document/cons_doc_LAW_404191/590f844d18de3f2e727f7066170267f35cac086c/" TargetMode="External"/><Relationship Id="rId151" Type="http://schemas.openxmlformats.org/officeDocument/2006/relationships/hyperlink" Target="http://www.consultant.ru/document/cons_doc_LAW_417588/25167685e26ddbda270e3894d72edc152f9732eb/" TargetMode="External"/><Relationship Id="rId156" Type="http://schemas.openxmlformats.org/officeDocument/2006/relationships/hyperlink" Target="http://www.consultant.ru/document/cons_doc_LAW_417588/03db4c84991693c1b7f08599c4a61d90aac28aa6/" TargetMode="External"/><Relationship Id="rId4" Type="http://schemas.openxmlformats.org/officeDocument/2006/relationships/hyperlink" Target="http://www.consultant.ru/document/cons_doc_LAW_417588/25167685e26ddbda270e3894d72edc152f9732eb/" TargetMode="External"/><Relationship Id="rId9" Type="http://schemas.openxmlformats.org/officeDocument/2006/relationships/hyperlink" Target="http://www.consultant.ru/document/cons_doc_LAW_417588/03db4c84991693c1b7f08599c4a61d90aac28aa6/" TargetMode="External"/><Relationship Id="rId13" Type="http://schemas.openxmlformats.org/officeDocument/2006/relationships/hyperlink" Target="http://www.consultant.ru/document/cons_doc_LAW_417588/a2b456be63886f5c6933ee5b7d51e24c3dd08bc6/" TargetMode="External"/><Relationship Id="rId18" Type="http://schemas.openxmlformats.org/officeDocument/2006/relationships/hyperlink" Target="http://www.consultant.ru/document/cons_doc_LAW_417588/25167685e26ddbda270e3894d72edc152f9732eb/" TargetMode="External"/><Relationship Id="rId39" Type="http://schemas.openxmlformats.org/officeDocument/2006/relationships/hyperlink" Target="http://www.consultant.ru/document/cons_doc_LAW_417588/03db4c84991693c1b7f08599c4a61d90aac28aa6/" TargetMode="External"/><Relationship Id="rId109" Type="http://schemas.openxmlformats.org/officeDocument/2006/relationships/hyperlink" Target="http://www.consultant.ru/document/cons_doc_LAW_420487/42da8a68e1975e0d1c5e76ddde466554341193d3/" TargetMode="External"/><Relationship Id="rId34" Type="http://schemas.openxmlformats.org/officeDocument/2006/relationships/hyperlink" Target="http://www.consultant.ru/document/cons_doc_LAW_417588/03db4c84991693c1b7f08599c4a61d90aac28aa6/" TargetMode="External"/><Relationship Id="rId50" Type="http://schemas.openxmlformats.org/officeDocument/2006/relationships/hyperlink" Target="http://www.consultant.ru/document/cons_doc_LAW_410306/99b7be87680eed1c2e9c4f0738d52a442645ce07/" TargetMode="External"/><Relationship Id="rId55" Type="http://schemas.openxmlformats.org/officeDocument/2006/relationships/hyperlink" Target="http://www.consultant.ru/document/cons_doc_LAW_417588/03db4c84991693c1b7f08599c4a61d90aac28aa6/" TargetMode="External"/><Relationship Id="rId76" Type="http://schemas.openxmlformats.org/officeDocument/2006/relationships/hyperlink" Target="http://www.consultant.ru/document/cons_doc_LAW_420487/" TargetMode="External"/><Relationship Id="rId97" Type="http://schemas.openxmlformats.org/officeDocument/2006/relationships/hyperlink" Target="http://www.consultant.ru/document/cons_doc_LAW_420487/e0da9886c35562da55b34bd2b059a460939a660a/" TargetMode="External"/><Relationship Id="rId104" Type="http://schemas.openxmlformats.org/officeDocument/2006/relationships/hyperlink" Target="http://www.consultant.ru/document/cons_doc_LAW_420487/42da8a68e1975e0d1c5e76ddde466554341193d3/" TargetMode="External"/><Relationship Id="rId120" Type="http://schemas.openxmlformats.org/officeDocument/2006/relationships/hyperlink" Target="http://www.consultant.ru/document/cons_doc_LAW_417588/25167685e26ddbda270e3894d72edc152f9732eb/" TargetMode="External"/><Relationship Id="rId125" Type="http://schemas.openxmlformats.org/officeDocument/2006/relationships/hyperlink" Target="http://www.consultant.ru/document/cons_doc_LAW_417588/a2b456be63886f5c6933ee5b7d51e24c3dd08bc6/" TargetMode="External"/><Relationship Id="rId141" Type="http://schemas.openxmlformats.org/officeDocument/2006/relationships/hyperlink" Target="http://www.consultant.ru/document/cons_doc_LAW_420487/d937eace916904e588891489289ffc3063adc66c/" TargetMode="External"/><Relationship Id="rId146" Type="http://schemas.openxmlformats.org/officeDocument/2006/relationships/hyperlink" Target="http://www.consultant.ru/document/cons_doc_LAW_404191/2c9714bcf7d7779c4434d556872203acbd7470bf/" TargetMode="External"/><Relationship Id="rId7" Type="http://schemas.openxmlformats.org/officeDocument/2006/relationships/hyperlink" Target="http://www.consultant.ru/document/cons_doc_LAW_417588/03db4c84991693c1b7f08599c4a61d90aac28aa6/" TargetMode="External"/><Relationship Id="rId71" Type="http://schemas.openxmlformats.org/officeDocument/2006/relationships/hyperlink" Target="http://www.consultant.ru/document/cons_doc_LAW_410306/" TargetMode="External"/><Relationship Id="rId92" Type="http://schemas.openxmlformats.org/officeDocument/2006/relationships/hyperlink" Target="http://www.consultant.ru/document/cons_doc_LAW_41758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417588/03db4c84991693c1b7f08599c4a61d90aac28aa6/" TargetMode="External"/><Relationship Id="rId24" Type="http://schemas.openxmlformats.org/officeDocument/2006/relationships/hyperlink" Target="http://www.consultant.ru/document/cons_doc_LAW_417588/03db4c84991693c1b7f08599c4a61d90aac28aa6/" TargetMode="External"/><Relationship Id="rId40" Type="http://schemas.openxmlformats.org/officeDocument/2006/relationships/hyperlink" Target="http://www.consultant.ru/document/cons_doc_LAW_417588/03db4c84991693c1b7f08599c4a61d90aac28aa6/" TargetMode="External"/><Relationship Id="rId45" Type="http://schemas.openxmlformats.org/officeDocument/2006/relationships/hyperlink" Target="http://www.consultant.ru/document/cons_doc_LAW_417588/25167685e26ddbda270e3894d72edc152f9732eb/" TargetMode="External"/><Relationship Id="rId66" Type="http://schemas.openxmlformats.org/officeDocument/2006/relationships/hyperlink" Target="http://www.consultant.ru/document/cons_doc_LAW_417588/03db4c84991693c1b7f08599c4a61d90aac28aa6/" TargetMode="External"/><Relationship Id="rId87" Type="http://schemas.openxmlformats.org/officeDocument/2006/relationships/hyperlink" Target="http://www.consultant.ru/document/cons_doc_LAW_420487/" TargetMode="External"/><Relationship Id="rId110" Type="http://schemas.openxmlformats.org/officeDocument/2006/relationships/hyperlink" Target="http://www.consultant.ru/document/cons_doc_LAW_417588/25167685e26ddbda270e3894d72edc152f9732eb/" TargetMode="External"/><Relationship Id="rId115" Type="http://schemas.openxmlformats.org/officeDocument/2006/relationships/hyperlink" Target="http://www.consultant.ru/document/cons_doc_LAW_417588/25167685e26ddbda270e3894d72edc152f9732eb/" TargetMode="External"/><Relationship Id="rId131" Type="http://schemas.openxmlformats.org/officeDocument/2006/relationships/hyperlink" Target="http://www.consultant.ru/document/cons_doc_LAW_417588/25167685e26ddbda270e3894d72edc152f9732eb/" TargetMode="External"/><Relationship Id="rId136" Type="http://schemas.openxmlformats.org/officeDocument/2006/relationships/hyperlink" Target="http://www.consultant.ru/document/cons_doc_LAW_417588/03db4c84991693c1b7f08599c4a61d90aac28aa6/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consultant.ru/document/cons_doc_LAW_417588/25167685e26ddbda270e3894d72edc152f9732eb/" TargetMode="External"/><Relationship Id="rId82" Type="http://schemas.openxmlformats.org/officeDocument/2006/relationships/hyperlink" Target="http://www.consultant.ru/document/cons_doc_LAW_420487/" TargetMode="External"/><Relationship Id="rId152" Type="http://schemas.openxmlformats.org/officeDocument/2006/relationships/hyperlink" Target="http://www.consultant.ru/document/cons_doc_LAW_417588/25167685e26ddbda270e3894d72edc152f9732eb/" TargetMode="External"/><Relationship Id="rId19" Type="http://schemas.openxmlformats.org/officeDocument/2006/relationships/hyperlink" Target="http://www.consultant.ru/document/cons_doc_LAW_417588/25167685e26ddbda270e3894d72edc152f9732eb/" TargetMode="External"/><Relationship Id="rId14" Type="http://schemas.openxmlformats.org/officeDocument/2006/relationships/hyperlink" Target="http://www.consultant.ru/document/cons_doc_LAW_417588/25167685e26ddbda270e3894d72edc152f9732eb/" TargetMode="External"/><Relationship Id="rId30" Type="http://schemas.openxmlformats.org/officeDocument/2006/relationships/hyperlink" Target="http://www.consultant.ru/document/cons_doc_LAW_417588/03db4c84991693c1b7f08599c4a61d90aac28aa6/" TargetMode="External"/><Relationship Id="rId35" Type="http://schemas.openxmlformats.org/officeDocument/2006/relationships/hyperlink" Target="http://www.consultant.ru/document/cons_doc_LAW_417588/03db4c84991693c1b7f08599c4a61d90aac28aa6/" TargetMode="External"/><Relationship Id="rId56" Type="http://schemas.openxmlformats.org/officeDocument/2006/relationships/hyperlink" Target="http://www.consultant.ru/document/cons_doc_LAW_417588/03db4c84991693c1b7f08599c4a61d90aac28aa6/" TargetMode="External"/><Relationship Id="rId77" Type="http://schemas.openxmlformats.org/officeDocument/2006/relationships/hyperlink" Target="http://www.consultant.ru/document/cons_doc_LAW_417588/03db4c84991693c1b7f08599c4a61d90aac28aa6/" TargetMode="External"/><Relationship Id="rId100" Type="http://schemas.openxmlformats.org/officeDocument/2006/relationships/hyperlink" Target="http://www.consultant.ru/document/cons_doc_LAW_420487/96e506543b50cd5326a74629e98d855931c21aa0/" TargetMode="External"/><Relationship Id="rId105" Type="http://schemas.openxmlformats.org/officeDocument/2006/relationships/hyperlink" Target="http://www.consultant.ru/document/cons_doc_LAW_420487/42da8a68e1975e0d1c5e76ddde466554341193d3/" TargetMode="External"/><Relationship Id="rId126" Type="http://schemas.openxmlformats.org/officeDocument/2006/relationships/hyperlink" Target="http://www.consultant.ru/document/cons_doc_LAW_410306/d65fbe0a603d59546c3338bcfc6bf09bb0332817/" TargetMode="External"/><Relationship Id="rId147" Type="http://schemas.openxmlformats.org/officeDocument/2006/relationships/hyperlink" Target="http://www.consultant.ru/document/cons_doc_LAW_404191/321ef822d277dffdac4d977f62049960950cd21c/" TargetMode="External"/><Relationship Id="rId8" Type="http://schemas.openxmlformats.org/officeDocument/2006/relationships/hyperlink" Target="http://www.consultant.ru/document/cons_doc_LAW_417588/03db4c84991693c1b7f08599c4a61d90aac28aa6/" TargetMode="External"/><Relationship Id="rId51" Type="http://schemas.openxmlformats.org/officeDocument/2006/relationships/hyperlink" Target="http://www.consultant.ru/document/cons_doc_LAW_420487/8db459905dafc0f947387e259ad4d6d44f8e548b/" TargetMode="External"/><Relationship Id="rId72" Type="http://schemas.openxmlformats.org/officeDocument/2006/relationships/hyperlink" Target="http://www.consultant.ru/document/cons_doc_LAW_417588/03db4c84991693c1b7f08599c4a61d90aac28aa6/" TargetMode="External"/><Relationship Id="rId93" Type="http://schemas.openxmlformats.org/officeDocument/2006/relationships/hyperlink" Target="http://www.consultant.ru/document/cons_doc_LAW_210013/02da2a84305dd12b8a01eb2e536b3ddf3ce572e8/" TargetMode="External"/><Relationship Id="rId98" Type="http://schemas.openxmlformats.org/officeDocument/2006/relationships/hyperlink" Target="http://www.consultant.ru/document/cons_doc_LAW_420487/96e506543b50cd5326a74629e98d855931c21aa0/" TargetMode="External"/><Relationship Id="rId121" Type="http://schemas.openxmlformats.org/officeDocument/2006/relationships/hyperlink" Target="http://www.consultant.ru/document/cons_doc_LAW_417588/25167685e26ddbda270e3894d72edc152f9732eb/" TargetMode="External"/><Relationship Id="rId142" Type="http://schemas.openxmlformats.org/officeDocument/2006/relationships/hyperlink" Target="http://www.consultant.ru/document/cons_doc_LAW_420487/d937eace916904e588891489289ffc3063adc66c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nsultant.ru/document/cons_doc_LAW_417588/03db4c84991693c1b7f08599c4a61d90aac28aa6/" TargetMode="External"/><Relationship Id="rId46" Type="http://schemas.openxmlformats.org/officeDocument/2006/relationships/hyperlink" Target="http://www.consultant.ru/document/cons_doc_LAW_417588/25167685e26ddbda270e3894d72edc152f9732eb/" TargetMode="External"/><Relationship Id="rId67" Type="http://schemas.openxmlformats.org/officeDocument/2006/relationships/hyperlink" Target="http://www.consultant.ru/document/cons_doc_LAW_417588/03db4c84991693c1b7f08599c4a61d90aac28aa6/" TargetMode="External"/><Relationship Id="rId116" Type="http://schemas.openxmlformats.org/officeDocument/2006/relationships/hyperlink" Target="http://www.consultant.ru/document/cons_doc_LAW_417588/25167685e26ddbda270e3894d72edc152f9732eb/" TargetMode="External"/><Relationship Id="rId137" Type="http://schemas.openxmlformats.org/officeDocument/2006/relationships/hyperlink" Target="http://www.consultant.ru/document/cons_doc_LAW_417588/03db4c84991693c1b7f08599c4a61d90aac28aa6/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7957</Words>
  <Characters>45359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 Судебной коллегии по административным делам Верховного Суда РФ от 07.06.</vt:lpstr>
      <vt:lpstr>&lt;Об отказе в удовлетворении заявления о признании недействующими абзацев пятого</vt:lpstr>
    </vt:vector>
  </TitlesOfParts>
  <Company/>
  <LinksUpToDate>false</LinksUpToDate>
  <CharactersWithSpaces>53210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Expert-001</dc:creator>
  <cp:keywords/>
  <dc:description/>
  <cp:lastModifiedBy>Expert-001</cp:lastModifiedBy>
  <cp:revision>3</cp:revision>
  <dcterms:created xsi:type="dcterms:W3CDTF">2022-07-14T10:43:00Z</dcterms:created>
  <dcterms:modified xsi:type="dcterms:W3CDTF">2022-07-14T11:14:00Z</dcterms:modified>
</cp:coreProperties>
</file>